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10" w:rsidRDefault="004B6F10" w:rsidP="00DD7680">
      <w:pPr>
        <w:rPr>
          <w:noProof/>
          <w:sz w:val="24"/>
          <w:szCs w:val="24"/>
        </w:rPr>
      </w:pPr>
    </w:p>
    <w:p w:rsidR="004B6F10" w:rsidRDefault="004B6F10" w:rsidP="004B6F10">
      <w:pPr>
        <w:pStyle w:val="a4"/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5A6C913E" wp14:editId="120CE200">
            <wp:extent cx="695325" cy="857250"/>
            <wp:effectExtent l="0" t="0" r="9525" b="0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10" w:rsidRDefault="004B6F10" w:rsidP="004B6F10">
      <w:pPr>
        <w:pStyle w:val="a4"/>
        <w:rPr>
          <w:bCs/>
          <w:sz w:val="20"/>
          <w:szCs w:val="20"/>
        </w:rPr>
      </w:pPr>
    </w:p>
    <w:p w:rsidR="004B6F10" w:rsidRDefault="004B6F10" w:rsidP="004B6F10">
      <w:pPr>
        <w:pStyle w:val="a4"/>
        <w:rPr>
          <w:bCs/>
          <w:sz w:val="20"/>
          <w:szCs w:val="20"/>
        </w:rPr>
      </w:pPr>
    </w:p>
    <w:p w:rsidR="004B6F10" w:rsidRPr="00471BB1" w:rsidRDefault="004B6F10" w:rsidP="004B6F10">
      <w:pPr>
        <w:pStyle w:val="a4"/>
        <w:jc w:val="center"/>
        <w:rPr>
          <w:b/>
          <w:bCs/>
          <w:sz w:val="20"/>
          <w:szCs w:val="20"/>
        </w:rPr>
      </w:pPr>
      <w:r w:rsidRPr="00471BB1">
        <w:rPr>
          <w:b/>
          <w:bCs/>
          <w:sz w:val="20"/>
          <w:szCs w:val="20"/>
        </w:rPr>
        <w:t>КОРСАКОВСКИЙ РАЙОННЫЙ СОВЕТ НАРОДНЫХ ДЕПУТАТОВ ОРЛОВСКОЙ ОБЛАСТИ</w:t>
      </w:r>
    </w:p>
    <w:p w:rsidR="004B6F10" w:rsidRDefault="004B6F10" w:rsidP="004B6F10">
      <w:pPr>
        <w:pStyle w:val="a4"/>
        <w:jc w:val="center"/>
        <w:rPr>
          <w:bCs/>
        </w:rPr>
      </w:pPr>
    </w:p>
    <w:p w:rsidR="004B6F10" w:rsidRDefault="004B6F10" w:rsidP="004B6F10">
      <w:pPr>
        <w:pStyle w:val="a4"/>
        <w:jc w:val="center"/>
        <w:rPr>
          <w:bCs/>
        </w:rPr>
      </w:pPr>
    </w:p>
    <w:p w:rsidR="004B6F10" w:rsidRDefault="004B6F10" w:rsidP="004B6F10">
      <w:pPr>
        <w:jc w:val="center"/>
        <w:outlineLvl w:val="0"/>
        <w:rPr>
          <w:sz w:val="28"/>
          <w:szCs w:val="28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РЕШЕНИЕ</w:t>
      </w:r>
    </w:p>
    <w:p w:rsidR="004B6F10" w:rsidRDefault="004B6F10" w:rsidP="004B6F10">
      <w:pPr>
        <w:jc w:val="both"/>
      </w:pPr>
    </w:p>
    <w:p w:rsidR="004B6F10" w:rsidRDefault="004B6F10" w:rsidP="004B6F10">
      <w:pPr>
        <w:jc w:val="both"/>
      </w:pPr>
    </w:p>
    <w:p w:rsidR="004B6F10" w:rsidRDefault="004B6F10" w:rsidP="004B6F10">
      <w:pPr>
        <w:jc w:val="both"/>
        <w:outlineLvl w:val="0"/>
        <w:rPr>
          <w:b/>
        </w:rPr>
      </w:pPr>
      <w:r>
        <w:t xml:space="preserve">    </w:t>
      </w:r>
      <w:r>
        <w:rPr>
          <w:b/>
          <w:sz w:val="28"/>
          <w:szCs w:val="28"/>
          <w:u w:val="single"/>
        </w:rPr>
        <w:t>19 декабря 2018 г</w:t>
      </w:r>
      <w:r>
        <w:rPr>
          <w:b/>
        </w:rPr>
        <w:t xml:space="preserve">.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№ 126/1-РС</w:t>
      </w:r>
    </w:p>
    <w:p w:rsidR="004B6F10" w:rsidRDefault="004B6F10" w:rsidP="004B6F10">
      <w:pPr>
        <w:jc w:val="both"/>
        <w:rPr>
          <w:b/>
          <w:sz w:val="26"/>
          <w:szCs w:val="26"/>
        </w:rPr>
      </w:pPr>
    </w:p>
    <w:p w:rsidR="004B6F10" w:rsidRDefault="004B6F10" w:rsidP="004B6F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B6F10" w:rsidRPr="00DD7680" w:rsidRDefault="004B6F10" w:rsidP="004B6F10">
      <w:pPr>
        <w:pStyle w:val="ConsPlusTitle"/>
        <w:ind w:left="1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680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DD7680">
        <w:rPr>
          <w:rFonts w:ascii="Times New Roman" w:hAnsi="Times New Roman" w:cs="Times New Roman"/>
          <w:sz w:val="28"/>
          <w:szCs w:val="28"/>
        </w:rPr>
        <w:t xml:space="preserve"> Положения «О Порядке определения и перечисления в бюджет </w:t>
      </w:r>
      <w:proofErr w:type="spellStart"/>
      <w:r w:rsidRPr="00DD768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DD7680">
        <w:rPr>
          <w:rFonts w:ascii="Times New Roman" w:hAnsi="Times New Roman" w:cs="Times New Roman"/>
          <w:sz w:val="28"/>
          <w:szCs w:val="28"/>
        </w:rPr>
        <w:t xml:space="preserve"> района, части прибыли, оставшейся после уплаты налогов и иных обязательных платежей муниципальных унитарных предприятий»  </w:t>
      </w:r>
    </w:p>
    <w:p w:rsidR="004B6F10" w:rsidRPr="00DD7680" w:rsidRDefault="004B6F10" w:rsidP="004B6F10">
      <w:pPr>
        <w:jc w:val="center"/>
        <w:rPr>
          <w:b/>
          <w:sz w:val="22"/>
          <w:szCs w:val="22"/>
        </w:rPr>
      </w:pPr>
    </w:p>
    <w:p w:rsidR="004B6F10" w:rsidRDefault="004B6F10" w:rsidP="004B6F10">
      <w:pPr>
        <w:jc w:val="both"/>
        <w:rPr>
          <w:sz w:val="28"/>
          <w:szCs w:val="28"/>
        </w:rPr>
      </w:pPr>
    </w:p>
    <w:p w:rsidR="004B6F10" w:rsidRDefault="004B6F10" w:rsidP="004B6F10">
      <w:pPr>
        <w:jc w:val="both"/>
        <w:rPr>
          <w:sz w:val="28"/>
          <w:szCs w:val="28"/>
        </w:rPr>
      </w:pPr>
    </w:p>
    <w:p w:rsidR="004B6F10" w:rsidRPr="00DD7680" w:rsidRDefault="004B6F10" w:rsidP="004B6F10">
      <w:pPr>
        <w:outlineLvl w:val="0"/>
        <w:rPr>
          <w:b/>
        </w:rPr>
      </w:pPr>
      <w:r w:rsidRPr="00DD7680">
        <w:rPr>
          <w:b/>
        </w:rPr>
        <w:t xml:space="preserve">Принято </w:t>
      </w:r>
      <w:proofErr w:type="spellStart"/>
      <w:r w:rsidRPr="00DD7680">
        <w:rPr>
          <w:b/>
        </w:rPr>
        <w:t>Корсаковским</w:t>
      </w:r>
      <w:proofErr w:type="spellEnd"/>
      <w:r w:rsidRPr="00DD7680">
        <w:rPr>
          <w:b/>
        </w:rPr>
        <w:t xml:space="preserve"> районным </w:t>
      </w:r>
    </w:p>
    <w:p w:rsidR="004B6F10" w:rsidRDefault="004B6F10" w:rsidP="004B6F10">
      <w:pPr>
        <w:outlineLvl w:val="0"/>
        <w:rPr>
          <w:sz w:val="24"/>
          <w:szCs w:val="24"/>
        </w:rPr>
      </w:pPr>
      <w:r w:rsidRPr="00DD7680">
        <w:rPr>
          <w:b/>
        </w:rPr>
        <w:t>Советом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DD76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D7680">
        <w:rPr>
          <w:b/>
          <w:sz w:val="24"/>
          <w:szCs w:val="24"/>
          <w:u w:val="single"/>
        </w:rPr>
        <w:t>19 декабря 2018 г</w:t>
      </w:r>
      <w:r>
        <w:rPr>
          <w:sz w:val="24"/>
          <w:szCs w:val="24"/>
          <w:u w:val="single"/>
        </w:rPr>
        <w:t>.</w:t>
      </w:r>
    </w:p>
    <w:p w:rsidR="004B6F10" w:rsidRDefault="004B6F10" w:rsidP="004B6F10">
      <w:pPr>
        <w:jc w:val="center"/>
        <w:rPr>
          <w:noProof/>
          <w:sz w:val="24"/>
          <w:szCs w:val="24"/>
        </w:rPr>
      </w:pPr>
    </w:p>
    <w:p w:rsidR="004B6F10" w:rsidRDefault="004B6F10" w:rsidP="00DD7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6F10" w:rsidRDefault="004B6F10" w:rsidP="004B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Рассмотрев проект, внесенный главой администрации города Орла, 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Бюджетным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Гражданским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Федерации,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 ноября 2002 года N 161-ФЗ "О государственных и муниципальных унитарных предприятиях",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районный  Совет народных депутатов решил:</w:t>
      </w:r>
    </w:p>
    <w:p w:rsidR="004B6F10" w:rsidRDefault="004B6F10" w:rsidP="004B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F10" w:rsidRDefault="004B6F10" w:rsidP="004B6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Принять </w:t>
      </w:r>
      <w:hyperlink r:id="rId10" w:anchor="P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определения и перечисления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части прибыли, остающейся после уплаты налогов и иных обязательных платежей муниципальных унитарных предприятий" (прилагается).</w:t>
      </w:r>
    </w:p>
    <w:p w:rsidR="004B6F10" w:rsidRDefault="004B6F10" w:rsidP="004B6F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1 января 2019 года.</w:t>
      </w:r>
    </w:p>
    <w:p w:rsidR="00DD7680" w:rsidRDefault="00DD7680" w:rsidP="00DD7680">
      <w:pPr>
        <w:ind w:left="1125"/>
        <w:jc w:val="both"/>
        <w:rPr>
          <w:sz w:val="28"/>
          <w:szCs w:val="28"/>
        </w:rPr>
      </w:pPr>
    </w:p>
    <w:p w:rsidR="00DD7680" w:rsidRDefault="00DD7680" w:rsidP="004B6F10">
      <w:pPr>
        <w:ind w:left="1110"/>
        <w:jc w:val="both"/>
        <w:rPr>
          <w:sz w:val="28"/>
          <w:szCs w:val="28"/>
        </w:rPr>
      </w:pPr>
    </w:p>
    <w:p w:rsidR="00DD7680" w:rsidRDefault="00DD7680" w:rsidP="00DD76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В. М. Савин</w:t>
      </w:r>
    </w:p>
    <w:p w:rsidR="004B6F10" w:rsidRDefault="004B6F10" w:rsidP="004B6F10">
      <w:pPr>
        <w:jc w:val="both"/>
        <w:rPr>
          <w:sz w:val="28"/>
          <w:szCs w:val="28"/>
        </w:rPr>
      </w:pPr>
    </w:p>
    <w:p w:rsidR="004B6F10" w:rsidRDefault="004B6F10" w:rsidP="004B6F10">
      <w:pPr>
        <w:jc w:val="both"/>
        <w:rPr>
          <w:sz w:val="28"/>
          <w:szCs w:val="28"/>
        </w:rPr>
      </w:pPr>
    </w:p>
    <w:p w:rsidR="004B6F10" w:rsidRDefault="004B6F10" w:rsidP="004B6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</w:t>
      </w:r>
      <w:r w:rsidR="00DD76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В.</w:t>
      </w:r>
      <w:r w:rsidR="00DD7680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DD76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4B6F10" w:rsidRDefault="004B6F10" w:rsidP="004B6F10">
      <w:pPr>
        <w:jc w:val="both"/>
        <w:rPr>
          <w:sz w:val="28"/>
          <w:szCs w:val="28"/>
        </w:rPr>
      </w:pPr>
    </w:p>
    <w:p w:rsidR="004F0B84" w:rsidRDefault="004F0B84"/>
    <w:p w:rsidR="00730B53" w:rsidRDefault="00730B53"/>
    <w:tbl>
      <w:tblPr>
        <w:tblStyle w:val="a7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30B53" w:rsidRPr="00730B53" w:rsidTr="0077275C">
        <w:tc>
          <w:tcPr>
            <w:tcW w:w="3249" w:type="dxa"/>
          </w:tcPr>
          <w:p w:rsidR="00730B53" w:rsidRPr="00730B53" w:rsidRDefault="00730B53" w:rsidP="00730B5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730B53">
              <w:rPr>
                <w:sz w:val="28"/>
                <w:szCs w:val="28"/>
              </w:rPr>
              <w:t>Приложение</w:t>
            </w:r>
          </w:p>
          <w:p w:rsidR="00730B53" w:rsidRPr="00730B53" w:rsidRDefault="00730B53" w:rsidP="00730B5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0B53">
              <w:rPr>
                <w:sz w:val="28"/>
                <w:szCs w:val="28"/>
              </w:rPr>
              <w:t>к решению</w:t>
            </w:r>
          </w:p>
          <w:p w:rsidR="00730B53" w:rsidRPr="00730B53" w:rsidRDefault="00730B53" w:rsidP="00730B5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0B53">
              <w:rPr>
                <w:sz w:val="28"/>
                <w:szCs w:val="28"/>
              </w:rPr>
              <w:t>районного</w:t>
            </w:r>
          </w:p>
          <w:p w:rsidR="00730B53" w:rsidRPr="00730B53" w:rsidRDefault="00730B53" w:rsidP="00730B5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0B53">
              <w:rPr>
                <w:sz w:val="28"/>
                <w:szCs w:val="28"/>
              </w:rPr>
              <w:t>Совета народных депутатов</w:t>
            </w:r>
          </w:p>
          <w:p w:rsidR="00730B53" w:rsidRPr="00730B53" w:rsidRDefault="00730B53" w:rsidP="00730B5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730B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</w:t>
            </w:r>
            <w:r w:rsidRPr="00730B53">
              <w:rPr>
                <w:sz w:val="28"/>
                <w:szCs w:val="28"/>
                <w:u w:val="single"/>
              </w:rPr>
              <w:t>19</w:t>
            </w:r>
            <w:proofErr w:type="gramEnd"/>
            <w:r w:rsidRPr="00730B53">
              <w:rPr>
                <w:sz w:val="28"/>
                <w:szCs w:val="28"/>
                <w:u w:val="single"/>
              </w:rPr>
              <w:t xml:space="preserve"> декабря 2018г.</w:t>
            </w:r>
            <w:r>
              <w:rPr>
                <w:sz w:val="28"/>
                <w:szCs w:val="28"/>
              </w:rPr>
              <w:t xml:space="preserve"> №</w:t>
            </w:r>
            <w:r w:rsidRPr="00730B53">
              <w:rPr>
                <w:sz w:val="28"/>
                <w:szCs w:val="28"/>
                <w:u w:val="single"/>
              </w:rPr>
              <w:t>126/1-РС</w:t>
            </w:r>
          </w:p>
          <w:p w:rsidR="00730B53" w:rsidRPr="00730B53" w:rsidRDefault="00730B53" w:rsidP="00730B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730B53" w:rsidRPr="00730B53" w:rsidRDefault="00730B53" w:rsidP="00730B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730B53" w:rsidRPr="00730B53" w:rsidRDefault="00730B53" w:rsidP="00730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7"/>
      <w:bookmarkEnd w:id="1"/>
      <w:r w:rsidRPr="00730B53">
        <w:rPr>
          <w:b/>
          <w:sz w:val="28"/>
          <w:szCs w:val="28"/>
        </w:rPr>
        <w:t>ПОЛОЖЕНИЕ</w:t>
      </w:r>
    </w:p>
    <w:p w:rsidR="00730B53" w:rsidRPr="00730B53" w:rsidRDefault="00730B53" w:rsidP="00730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30B53">
        <w:rPr>
          <w:b/>
          <w:sz w:val="28"/>
          <w:szCs w:val="28"/>
        </w:rPr>
        <w:t>"О ПОРЯДКЕ ОПРЕДЕЛЕНИЯ И ПЕРЕЧИСЛЕНИЯ В БЮДЖЕТ</w:t>
      </w:r>
    </w:p>
    <w:p w:rsidR="00730B53" w:rsidRPr="00730B53" w:rsidRDefault="00730B53" w:rsidP="00730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30B53">
        <w:rPr>
          <w:b/>
          <w:sz w:val="28"/>
          <w:szCs w:val="28"/>
        </w:rPr>
        <w:t>КОРСАКОВСКОГО РАЙОНА ЧАСТИ ПРИБЫЛИ, ОСТАЮЩЕЙСЯ ПОСЛЕ УПЛАТЫ НАЛОГОВ</w:t>
      </w:r>
    </w:p>
    <w:p w:rsidR="00730B53" w:rsidRPr="00730B53" w:rsidRDefault="00730B53" w:rsidP="00730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30B53">
        <w:rPr>
          <w:b/>
          <w:sz w:val="28"/>
          <w:szCs w:val="28"/>
        </w:rPr>
        <w:t>И ИНЫХ ОБЯЗАТЕЛЬНЫХ ПЛАТЕЖЕЙ МУНИЦИПАЛЬНЫХ</w:t>
      </w:r>
    </w:p>
    <w:p w:rsidR="00730B53" w:rsidRPr="00730B53" w:rsidRDefault="00730B53" w:rsidP="00730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30B53">
        <w:rPr>
          <w:b/>
          <w:sz w:val="28"/>
          <w:szCs w:val="28"/>
        </w:rPr>
        <w:t>УНИТАРНЫХ ПРЕДПРИЯТИЙ"</w:t>
      </w:r>
    </w:p>
    <w:p w:rsidR="00730B53" w:rsidRPr="00730B53" w:rsidRDefault="00730B53" w:rsidP="00730B53">
      <w:pPr>
        <w:spacing w:after="1" w:line="259" w:lineRule="auto"/>
        <w:rPr>
          <w:rFonts w:eastAsiaTheme="minorHAnsi"/>
          <w:sz w:val="28"/>
          <w:szCs w:val="28"/>
          <w:lang w:eastAsia="en-US"/>
        </w:rPr>
      </w:pP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1. Настоящее Положение "О порядке определения и перечисления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части прибыли, остающейся после уплаты налогов и иных обязательных платежей муниципальных унитарных предприятий" (далее - Положение) разработано в целях повышения эффективности использования муниципального имущества, определяет форму и сроки предоставления расчетов и документов к ним, процедуру и сроки перечисления муниципальными унитарными предприятиями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(далее - предприятия)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 части прибыли, остающейся после уплаты налогов и иных обязательных платежей (далее - часть прибыли).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2. Часть прибыли, подлежащая перечислению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района, исчисляется предприятием самостоятельно по результатам финансово-хозяйственной деятельности по истечении отчетного периода.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3. Отчетным периодом для предприятий признаются первый квартал, полугодие, девять месяцев календарного года, календарный год.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4. Отчисления части прибыли предприятия определяются следующим образом:</w:t>
      </w: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ПБ = ЧП - ОРФ - И, где:</w:t>
      </w: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0B53" w:rsidRPr="00730B53" w:rsidRDefault="00730B53" w:rsidP="00730B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ПБ - сумма части прибыли, подлежащая перечислению в бюджет района;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ЧП - чистая прибыль, остающаяся в распоряжении предприятия после уплаты налогов и иных обязательных платежей;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lastRenderedPageBreak/>
        <w:t>ОРФ - отчисления в резервный и иные фонды (не более размера, определенного Уставом предприятия);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И - средства, направленные на инвестиции. Утверждение программы инвестиций на очередной год осуществляется до 1 октября года, предшествующего планируемому, одновременно с утверждением плана финансово-хозяйственной деятельности предприятия на очередной год.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Сумма части прибыли, подлежащая перечислению в бюджет района (ПБ), должна быть не менее 50% от чистой прибыли, остающейся в распоряжении предприятия после уплаты налогов и иных обязательных платежей (ЧП).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5. Сумма части прибыли, подлежащая перечислению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района, исчисляется предприятием самостоятельно на основании данных бухгалтерской отчетности. Расчет части прибыли представляется в администрацию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одновременно с квартальной бухгалтерской отчетностью не позднее одного месяца, следующего за отчетным периодом, и утверждается на заседании балансовой комиссии. Расчет части прибыли по итогам года представляется с прилагаемыми документами в администрацию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не позднее 5 дней после представления годовой бухгалтерской отчетности в налоговой орган и утверждается на заседании балансовой комиссии.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6. База по исчислению части чистой прибыли муниципального унитарного предприятия, подлежащей перечислению в бюджет района, уменьшается: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на величину доходов, полученных муниципальными унитарными предприятиями, от применения установленных в соответствии с федеральным законодательством регулируемых тарифов и направляемых на финансирование реализации мероприятий утвержденной в установленном порядке инвестиционной программы, а также платы за подключение (технологическое присоединение) объектов капитального строительства к централизованным системам холодного водоснабжения и (или) водоотведения, устанавливаемой в индивидуальном порядке;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на величину финансовых средств, полученных в текущем году предприятием, в счет погашения дебиторской задолженности со сроком более одного года бюджетов всех уровней перед предприятием за выполнение социально значимых функций или государственных (муниципальных) контрактов;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на величину, необходимую для восстановления стоимости чистых активов предприятия до величины минимального размера уставного фонда унитарного предприятия, установленного законодательством Российской Федерации на дату государственной регистрации предприятия.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730B53">
        <w:rPr>
          <w:sz w:val="28"/>
          <w:szCs w:val="28"/>
        </w:rPr>
        <w:lastRenderedPageBreak/>
        <w:t xml:space="preserve">           7. Предприятие перечисляет часть прибыли в бюджет района в форме авансовых платежей поквартально: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по итогам 1 квартала - не позднее 1 июня отчетного года;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по итогам полугодия - не позднее 1 сентября отчетного года;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по итогам 9 месяцев - не позднее 1 декабря отчетного года.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8 Окончательный расчет части прибыли, подлежащей перечислению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района, по итогам года осуществляется на основании данных годовой бухгалтерской отчетности - не позднее 1 мая года, следующего за отчетным. В случае возникновения переплаты по авансовым платежам сумма переплаты засчитывается в счет последующих платежей.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9. Учет и контроль за своевременностью уплаты части прибыли предприятиями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осуществляет администрация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10. 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исчисления, полноту и своевременность перечисления части прибыли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района, своевременное предоставление отчетности и подтверждающих расчеты части прибыли документов.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11. За нарушение сроков внесения части прибыли, подлежащей перечислению в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по итогам года, начисляется и взимается пеня в размере одной трехсотой ставки рефинансирования Центрального банка Российской Федерации, действовавшей за период просрочки, за каждый календарный день просрочки исполнения обязательств по уплате суммы долга.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12. Срок уплаты части прибыли может быть изменен в форме отсрочки или рассрочки платежа. Отсрочка или рассрочка платежа предоставляется администрацией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на основании постановления администрации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 по итогам рассмотрения заявления предприятия на балансовой комиссии. Отсрочка или рассрочка предоставляется в пределах текущего финансового года при наличии одного из следующих оснований: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в случае причинения плательщику ущерба в результате стихийного бедствия, техногенной катастрофы или иных обстоятельств непреодолимой силы;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 xml:space="preserve">- в случае наличия просроченной задолженности за оказанные услуги (выполненные работы, поставленные товары) перед муниципальным предприятием по исполненным муниципальным контрактам, источником </w:t>
      </w:r>
      <w:r w:rsidRPr="00730B53">
        <w:rPr>
          <w:sz w:val="28"/>
          <w:szCs w:val="28"/>
        </w:rPr>
        <w:lastRenderedPageBreak/>
        <w:t xml:space="preserve">финансирования которых выступает бюджет </w:t>
      </w:r>
      <w:proofErr w:type="spellStart"/>
      <w:r w:rsidRPr="00730B53">
        <w:rPr>
          <w:sz w:val="28"/>
          <w:szCs w:val="28"/>
        </w:rPr>
        <w:t>Корсаковского</w:t>
      </w:r>
      <w:proofErr w:type="spellEnd"/>
      <w:r w:rsidRPr="00730B53">
        <w:rPr>
          <w:sz w:val="28"/>
          <w:szCs w:val="28"/>
        </w:rPr>
        <w:t xml:space="preserve"> района;</w:t>
      </w:r>
    </w:p>
    <w:p w:rsidR="00730B53" w:rsidRPr="00730B53" w:rsidRDefault="00730B53" w:rsidP="00730B5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30B53">
        <w:rPr>
          <w:sz w:val="28"/>
          <w:szCs w:val="28"/>
        </w:rPr>
        <w:t>- при наличии признаков несостоятельности (банкротства)</w:t>
      </w:r>
    </w:p>
    <w:p w:rsidR="00730B53" w:rsidRPr="00730B53" w:rsidRDefault="00730B53" w:rsidP="00730B53">
      <w:pPr>
        <w:widowControl w:val="0"/>
        <w:pBdr>
          <w:top w:val="single" w:sz="6" w:space="31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730B53" w:rsidRPr="00730B53" w:rsidRDefault="00730B53" w:rsidP="00730B5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30B53" w:rsidRDefault="00730B53"/>
    <w:sectPr w:rsidR="0073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22F5"/>
    <w:multiLevelType w:val="hybridMultilevel"/>
    <w:tmpl w:val="F6665CBA"/>
    <w:lvl w:ilvl="0" w:tplc="C1DEFEBC">
      <w:start w:val="2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10"/>
    <w:rsid w:val="004B6F10"/>
    <w:rsid w:val="004F0B84"/>
    <w:rsid w:val="00716C24"/>
    <w:rsid w:val="00730B53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FED7"/>
  <w15:chartTrackingRefBased/>
  <w15:docId w15:val="{BE5BC5CD-D102-4625-81A3-CD25E4B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6F10"/>
    <w:rPr>
      <w:color w:val="0000FF"/>
      <w:u w:val="single"/>
    </w:rPr>
  </w:style>
  <w:style w:type="paragraph" w:styleId="a4">
    <w:name w:val="No Spacing"/>
    <w:uiPriority w:val="1"/>
    <w:qFormat/>
    <w:rsid w:val="004B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8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94BD3C284DFC0DBF779E58FDBA15C24E7C2132222F090CB763B154C41D28F688322F4FAF270DF1680BF07E2472E9777FE1B760226400o97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94BD3C284DFC0DBF779E58FDBA15C24F7F273A272F090CB763B154C41D28F688322F4FAE2200F8680BF07E2472E9777FE1B760226400o97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994BD3C284DFC0DBF779E58FDBA15C3467F203A262F090CB763B154C41D28F688322F4CAD2002AC321BF437727EF47761FEB57E21o67C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AppData\Local\Packages\Microsoft.MicrosoftEdge_8wekyb3d8bbwe\TempState\Downloads\&#1056;&#1077;&#1096;&#1077;&#1085;&#1080;&#1077;+&#1086;+&#1085;&#1072;&#1083;&#1086;&#1075;&#1077;+&#1085;&#1072;+&#1087;&#1088;&#1080;&#1073;&#1099;&#1083;&#110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94BD3C284DFC0DBF779E58FDBA15C24F7A23342C2F090CB763B154C41D28F688322C4DA62D5DA9270AAC397061EB767FE2B77Fo2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3</cp:revision>
  <cp:lastPrinted>2018-12-24T09:58:00Z</cp:lastPrinted>
  <dcterms:created xsi:type="dcterms:W3CDTF">2018-12-18T10:54:00Z</dcterms:created>
  <dcterms:modified xsi:type="dcterms:W3CDTF">2018-12-24T09:59:00Z</dcterms:modified>
</cp:coreProperties>
</file>