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9C" w:rsidRPr="00E5319C" w:rsidRDefault="00063ADF" w:rsidP="00E531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3ADF">
        <w:rPr>
          <w:color w:val="000000"/>
        </w:rPr>
        <w:t xml:space="preserve">       </w:t>
      </w:r>
      <w:r w:rsidRPr="00C44777">
        <w:rPr>
          <w:color w:val="000000"/>
        </w:rPr>
        <w:t xml:space="preserve"> </w:t>
      </w:r>
      <w:proofErr w:type="gramStart"/>
      <w:r w:rsidRPr="00E5319C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E5319C">
        <w:rPr>
          <w:rFonts w:ascii="Times New Roman" w:hAnsi="Times New Roman" w:cs="Times New Roman"/>
          <w:color w:val="000000"/>
          <w:sz w:val="24"/>
          <w:szCs w:val="24"/>
        </w:rPr>
        <w:t xml:space="preserve"> ИФНС № 4 по Орловской области сообщает, </w:t>
      </w:r>
      <w:r w:rsidR="00E5319C"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в некоторых случаях расходы, связанные с отделкой жилого дома, произведенные после регистрации права собственности на него, могут быть включены в состав имущественного налогового вычета. </w:t>
      </w:r>
      <w:proofErr w:type="gramStart"/>
      <w:r w:rsidR="00E5319C"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возможно в случае, если имеются документы, подтверждающие, что при оформлении права собственности на указанный дом отделочные работы не были выполнены (письмо Департамента налоговой и таможенно-тарифной политики Минфина России от 22 апреля 2016 г. № 03-04-05/23340 "О получении имущественного налогового вычета по НДФЛ в сумме расходов, связанных с отделкой жилого дома, произведенных после регистрации права собственности на жилой дом").</w:t>
      </w:r>
      <w:proofErr w:type="gramEnd"/>
    </w:p>
    <w:p w:rsidR="00E5319C" w:rsidRPr="00E5319C" w:rsidRDefault="00E5319C" w:rsidP="00E5319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И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мущественный налоговый вычет предоставляется в размере фактически произведенных расходов, в том числе, на новое строительство либо приобретение жилого дома (подп. 3 п. 1 ст. 220 НК РФ). При этом он ограничен 2 </w:t>
      </w:r>
      <w:proofErr w:type="gramStart"/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руб.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актические расходы на новое строительство либо приобретение жилого дома или доли (долей) в нем могут включаться, в частности, расходы (подп. 3 п. 3 ст. 220 НК РФ):</w:t>
      </w:r>
    </w:p>
    <w:p w:rsidR="00E5319C" w:rsidRPr="00E5319C" w:rsidRDefault="00E5319C" w:rsidP="00E531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разработку проектной и сметной документации;</w:t>
      </w:r>
    </w:p>
    <w:p w:rsidR="00E5319C" w:rsidRPr="00E5319C" w:rsidRDefault="00E5319C" w:rsidP="00E531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приобретение строительных и отделочных материалов;</w:t>
      </w:r>
    </w:p>
    <w:p w:rsidR="00E5319C" w:rsidRPr="00E5319C" w:rsidRDefault="00E5319C" w:rsidP="00E531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приобретение жилого дома или доли (долей) в нем, в том числе не оконченного строительством;</w:t>
      </w:r>
    </w:p>
    <w:p w:rsidR="00E5319C" w:rsidRPr="00E5319C" w:rsidRDefault="00E5319C" w:rsidP="00E531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оплату работ и услуг по строительству (достройке жилого дома или доли (долей) в нем, не оконченного строительством) и отделке;</w:t>
      </w:r>
    </w:p>
    <w:p w:rsidR="00E5319C" w:rsidRPr="00E5319C" w:rsidRDefault="00E5319C" w:rsidP="00E5319C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подключение к сетям электр</w:t>
      </w:r>
      <w:proofErr w:type="gramStart"/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E531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водо- и газоснабжения и канализации или создание автономных источников электро-, водо- и газоснабжения и канализации.</w:t>
      </w:r>
      <w:bookmarkStart w:id="0" w:name="_GoBack"/>
      <w:bookmarkEnd w:id="0"/>
    </w:p>
    <w:sectPr w:rsidR="00E5319C" w:rsidRPr="00E5319C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B56"/>
    <w:multiLevelType w:val="multilevel"/>
    <w:tmpl w:val="D66E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9D33CD"/>
    <w:multiLevelType w:val="multilevel"/>
    <w:tmpl w:val="EC8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F3"/>
    <w:rsid w:val="00063ADF"/>
    <w:rsid w:val="00376C72"/>
    <w:rsid w:val="003F01F3"/>
    <w:rsid w:val="006852EF"/>
    <w:rsid w:val="007468D7"/>
    <w:rsid w:val="00817126"/>
    <w:rsid w:val="00B05A87"/>
    <w:rsid w:val="00C44777"/>
    <w:rsid w:val="00C56BB9"/>
    <w:rsid w:val="00E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2</cp:revision>
  <dcterms:created xsi:type="dcterms:W3CDTF">2016-05-13T09:38:00Z</dcterms:created>
  <dcterms:modified xsi:type="dcterms:W3CDTF">2016-05-13T09:38:00Z</dcterms:modified>
</cp:coreProperties>
</file>